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0191" w:rsidRDefault="002F0191">
      <w:pPr>
        <w:keepNext/>
        <w:pBdr>
          <w:top w:val="nil"/>
          <w:left w:val="nil"/>
          <w:bottom w:val="nil"/>
          <w:right w:val="nil"/>
          <w:between w:val="nil"/>
        </w:pBdr>
        <w:spacing w:after="240" w:line="240" w:lineRule="auto"/>
        <w:rPr>
          <w:rFonts w:ascii="Arial" w:eastAsia="Arial" w:hAnsi="Arial" w:cs="Arial"/>
          <w:b/>
          <w:color w:val="000000"/>
          <w:sz w:val="36"/>
          <w:szCs w:val="36"/>
        </w:rPr>
      </w:pPr>
    </w:p>
    <w:p w:rsidR="002F0191" w:rsidRDefault="00F8139E">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2F0191" w:rsidRDefault="00F8139E">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2F0191">
        <w:tc>
          <w:tcPr>
            <w:tcW w:w="2410" w:type="dxa"/>
            <w:shd w:val="clear" w:color="auto" w:fill="auto"/>
          </w:tcPr>
          <w:p w:rsidR="002F0191" w:rsidRDefault="002F0191">
            <w:pPr>
              <w:pBdr>
                <w:top w:val="nil"/>
                <w:left w:val="nil"/>
                <w:bottom w:val="nil"/>
                <w:right w:val="nil"/>
                <w:between w:val="nil"/>
              </w:pBdr>
              <w:spacing w:after="120" w:line="240" w:lineRule="auto"/>
              <w:ind w:left="-108"/>
              <w:rPr>
                <w:rFonts w:ascii="Arial" w:eastAsia="Arial" w:hAnsi="Arial" w:cs="Arial"/>
                <w:b/>
                <w:color w:val="000000"/>
                <w:sz w:val="24"/>
                <w:szCs w:val="24"/>
              </w:rPr>
            </w:pPr>
          </w:p>
          <w:p w:rsidR="002F0191" w:rsidRDefault="00F8139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2F0191" w:rsidRDefault="002F019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2F0191" w:rsidRDefault="002F0191">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rsidR="002F0191" w:rsidRDefault="00F8139E">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F0191">
        <w:tc>
          <w:tcPr>
            <w:tcW w:w="2410" w:type="dxa"/>
            <w:shd w:val="clear" w:color="auto" w:fill="auto"/>
          </w:tcPr>
          <w:p w:rsidR="002F0191" w:rsidRDefault="00F8139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2F0191" w:rsidRDefault="00F8139E">
            <w:pPr>
              <w:numPr>
                <w:ilvl w:val="0"/>
                <w:numId w:val="2"/>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2F0191">
        <w:trPr>
          <w:trHeight w:val="359"/>
        </w:trPr>
        <w:tc>
          <w:tcPr>
            <w:tcW w:w="2410" w:type="dxa"/>
            <w:shd w:val="clear" w:color="auto" w:fill="auto"/>
          </w:tcPr>
          <w:p w:rsidR="002F0191" w:rsidRDefault="00F8139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2F0191" w:rsidRDefault="00F8139E">
            <w:pPr>
              <w:numPr>
                <w:ilvl w:val="0"/>
                <w:numId w:val="2"/>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F0191">
        <w:tc>
          <w:tcPr>
            <w:tcW w:w="2410" w:type="dxa"/>
            <w:shd w:val="clear" w:color="auto" w:fill="auto"/>
          </w:tcPr>
          <w:p w:rsidR="002F0191" w:rsidRDefault="002F0191">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rsidR="002F0191" w:rsidRDefault="002F0191">
            <w:pPr>
              <w:numPr>
                <w:ilvl w:val="0"/>
                <w:numId w:val="2"/>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2F0191">
        <w:tc>
          <w:tcPr>
            <w:tcW w:w="2410" w:type="dxa"/>
            <w:shd w:val="clear" w:color="auto" w:fill="auto"/>
          </w:tcPr>
          <w:p w:rsidR="002F0191" w:rsidRDefault="00F8139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2F0191" w:rsidRDefault="00F8139E">
            <w:pPr>
              <w:numPr>
                <w:ilvl w:val="0"/>
                <w:numId w:val="2"/>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2F0191">
        <w:tc>
          <w:tcPr>
            <w:tcW w:w="2410" w:type="dxa"/>
            <w:shd w:val="clear" w:color="auto" w:fill="auto"/>
          </w:tcPr>
          <w:p w:rsidR="002F0191" w:rsidRDefault="00F8139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2F0191" w:rsidRDefault="00F8139E">
            <w:pPr>
              <w:numPr>
                <w:ilvl w:val="0"/>
                <w:numId w:val="2"/>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2F0191">
        <w:tc>
          <w:tcPr>
            <w:tcW w:w="2410" w:type="dxa"/>
            <w:shd w:val="clear" w:color="auto" w:fill="auto"/>
          </w:tcPr>
          <w:p w:rsidR="002F0191" w:rsidRDefault="00F8139E">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2F0191" w:rsidRDefault="00F8139E">
            <w:pPr>
              <w:numPr>
                <w:ilvl w:val="0"/>
                <w:numId w:val="2"/>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2F0191" w:rsidRDefault="00F8139E">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Service Levels</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0" w:name="_heading=h.h4fnyo7lompi" w:colFirst="0" w:colLast="0"/>
      <w:bookmarkEnd w:id="0"/>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2F0191" w:rsidRDefault="00F8139E">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w:t>
      </w:r>
      <w:r>
        <w:rPr>
          <w:rFonts w:ascii="Arial" w:eastAsia="Arial" w:hAnsi="Arial" w:cs="Arial"/>
          <w:color w:val="000000"/>
          <w:sz w:val="24"/>
          <w:szCs w:val="24"/>
        </w:rPr>
        <w:t>redit Cap; and/or</w:t>
      </w:r>
    </w:p>
    <w:p w:rsidR="002F0191" w:rsidRDefault="00F8139E">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rsidR="002F0191" w:rsidRDefault="00F8139E">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2F0191" w:rsidRDefault="00F8139E">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2F0191" w:rsidRDefault="00F8139E">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2F0191" w:rsidRDefault="00F8139E">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w:t>
      </w:r>
      <w:r>
        <w:rPr>
          <w:rFonts w:ascii="Arial" w:eastAsia="Arial" w:hAnsi="Arial" w:cs="Arial"/>
          <w:color w:val="000000"/>
          <w:sz w:val="24"/>
          <w:szCs w:val="24"/>
        </w:rPr>
        <w:t>quired to make a compensation payment to one or more third parties; and/or</w:t>
      </w:r>
    </w:p>
    <w:p w:rsidR="002F0191" w:rsidRDefault="00F8139E">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w:t>
      </w:r>
      <w:r>
        <w:rPr>
          <w:rFonts w:ascii="Arial" w:eastAsia="Arial" w:hAnsi="Arial" w:cs="Arial"/>
          <w:color w:val="000000"/>
          <w:sz w:val="24"/>
          <w:szCs w:val="24"/>
        </w:rPr>
        <w:t>object to, or increase the Charges as a result of such changes, provided that:</w:t>
      </w:r>
    </w:p>
    <w:p w:rsidR="002F0191" w:rsidRDefault="00F8139E">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2F0191" w:rsidRDefault="00F8139E">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w:t>
      </w:r>
      <w:r>
        <w:rPr>
          <w:rFonts w:ascii="Arial" w:eastAsia="Arial" w:hAnsi="Arial" w:cs="Arial"/>
          <w:color w:val="000000"/>
          <w:sz w:val="24"/>
          <w:szCs w:val="24"/>
        </w:rPr>
        <w:t>o reflect changes in the Buyer's business requirements and/or priorities or to reflect changing industry standards; and</w:t>
      </w:r>
    </w:p>
    <w:p w:rsidR="002F0191" w:rsidRDefault="00F8139E">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2F0191" w:rsidRDefault="00F8139E">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2F0191" w:rsidRDefault="00F8139E">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2F0191" w:rsidRDefault="00F8139E">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2F0191" w:rsidRDefault="00F8139E">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2F0191" w:rsidRDefault="002F0191">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2F0191" w:rsidRDefault="00F8139E">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A: Service Levels and Service Credits </w:t>
      </w:r>
    </w:p>
    <w:p w:rsidR="002F0191" w:rsidRDefault="00F8139E">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Levels</w:t>
      </w:r>
    </w:p>
    <w:p w:rsidR="002F0191" w:rsidRDefault="00F8139E">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2F0191" w:rsidRDefault="00F8139E">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w:t>
      </w:r>
      <w:r>
        <w:rPr>
          <w:rFonts w:ascii="Arial" w:eastAsia="Arial" w:hAnsi="Arial" w:cs="Arial"/>
          <w:color w:val="000000"/>
          <w:sz w:val="24"/>
          <w:szCs w:val="24"/>
        </w:rPr>
        <w:t>, in its absolute discretion and without limiting any other of its rights, may:</w:t>
      </w:r>
    </w:p>
    <w:p w:rsidR="002F0191" w:rsidRDefault="00F8139E">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w:t>
      </w:r>
      <w:r>
        <w:rPr>
          <w:rFonts w:ascii="Arial" w:eastAsia="Arial" w:hAnsi="Arial" w:cs="Arial"/>
          <w:color w:val="000000"/>
          <w:sz w:val="24"/>
          <w:szCs w:val="24"/>
        </w:rPr>
        <w:t xml:space="preserve">l Service Level Failure from taking place or recurring; </w:t>
      </w:r>
    </w:p>
    <w:p w:rsidR="002F0191" w:rsidRDefault="00F8139E">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rsidR="002F0191" w:rsidRDefault="00F8139E">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2F0191" w:rsidRDefault="00F8139E">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rsidR="002F0191" w:rsidRDefault="00F8139E">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Service Credits</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w:t>
      </w:r>
      <w:r>
        <w:rPr>
          <w:rFonts w:ascii="Arial" w:eastAsia="Arial" w:hAnsi="Arial" w:cs="Arial"/>
          <w:color w:val="000000"/>
          <w:sz w:val="24"/>
          <w:szCs w:val="24"/>
        </w:rPr>
        <w:t xml:space="preserve">he Deliverables and do not include VAT. The Supplier shall set-off the value of any Service Credits against the appropriate invoice in accordance with calculation formula in the Annex to Part A of this Schedule. </w:t>
      </w:r>
    </w:p>
    <w:p w:rsidR="002F0191" w:rsidRDefault="00F8139E">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36"/>
          <w:szCs w:val="36"/>
        </w:rPr>
        <w:lastRenderedPageBreak/>
        <w:t>Annex A to Part A: Services Levels and Ser</w:t>
      </w:r>
      <w:r>
        <w:rPr>
          <w:rFonts w:ascii="Arial" w:eastAsia="Arial" w:hAnsi="Arial" w:cs="Arial"/>
          <w:b/>
          <w:color w:val="000000"/>
          <w:sz w:val="36"/>
          <w:szCs w:val="36"/>
        </w:rPr>
        <w:t>vice Credits Table</w:t>
      </w:r>
    </w:p>
    <w:p w:rsidR="002F0191" w:rsidRDefault="002F0191">
      <w:pPr>
        <w:ind w:left="709"/>
        <w:rPr>
          <w:rFonts w:ascii="Arial" w:eastAsia="Arial" w:hAnsi="Arial" w:cs="Arial"/>
          <w:sz w:val="24"/>
          <w:szCs w:val="24"/>
        </w:rPr>
      </w:pPr>
    </w:p>
    <w:tbl>
      <w:tblPr>
        <w:tblW w:w="101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701"/>
        <w:gridCol w:w="4832"/>
        <w:gridCol w:w="1122"/>
        <w:gridCol w:w="1830"/>
      </w:tblGrid>
      <w:tr w:rsidR="00195158" w:rsidRPr="00DA0D78" w:rsidTr="0085522A">
        <w:trPr>
          <w:trHeight w:val="695"/>
        </w:trPr>
        <w:tc>
          <w:tcPr>
            <w:tcW w:w="709" w:type="dxa"/>
            <w:shd w:val="clear" w:color="auto" w:fill="B8CCE4"/>
          </w:tcPr>
          <w:p w:rsidR="00195158" w:rsidRPr="00617F94" w:rsidRDefault="00195158" w:rsidP="0085522A">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KPI/SLA</w:t>
            </w:r>
          </w:p>
        </w:tc>
        <w:tc>
          <w:tcPr>
            <w:tcW w:w="1701" w:type="dxa"/>
            <w:shd w:val="clear" w:color="auto" w:fill="B8CCE4"/>
          </w:tcPr>
          <w:p w:rsidR="00195158" w:rsidRPr="00617F94" w:rsidRDefault="00195158" w:rsidP="0085522A">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Service Area</w:t>
            </w:r>
          </w:p>
        </w:tc>
        <w:tc>
          <w:tcPr>
            <w:tcW w:w="4832" w:type="dxa"/>
            <w:shd w:val="clear" w:color="auto" w:fill="B8CCE4"/>
          </w:tcPr>
          <w:p w:rsidR="00195158" w:rsidRPr="00617F94" w:rsidRDefault="00195158" w:rsidP="0085522A">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KPI/SLA description</w:t>
            </w:r>
          </w:p>
        </w:tc>
        <w:tc>
          <w:tcPr>
            <w:tcW w:w="1122" w:type="dxa"/>
            <w:shd w:val="clear" w:color="auto" w:fill="B8CCE4"/>
          </w:tcPr>
          <w:p w:rsidR="00195158" w:rsidRPr="00617F94" w:rsidRDefault="00195158" w:rsidP="0085522A">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Target</w:t>
            </w:r>
          </w:p>
        </w:tc>
        <w:tc>
          <w:tcPr>
            <w:tcW w:w="1830" w:type="dxa"/>
            <w:shd w:val="clear" w:color="auto" w:fill="B8CCE4"/>
          </w:tcPr>
          <w:p w:rsidR="00195158" w:rsidRPr="00617F94" w:rsidRDefault="00195158" w:rsidP="0085522A">
            <w:pPr>
              <w:pBdr>
                <w:top w:val="nil"/>
                <w:left w:val="nil"/>
                <w:bottom w:val="nil"/>
                <w:right w:val="nil"/>
                <w:between w:val="nil"/>
              </w:pBdr>
              <w:ind w:left="709" w:hanging="709"/>
              <w:rPr>
                <w:rFonts w:ascii="Arial" w:hAnsi="Arial" w:cs="Arial"/>
                <w:b/>
                <w:color w:val="000000"/>
                <w:sz w:val="24"/>
              </w:rPr>
            </w:pPr>
            <w:r w:rsidRPr="00617F94">
              <w:rPr>
                <w:rFonts w:ascii="Arial" w:hAnsi="Arial" w:cs="Arial"/>
                <w:color w:val="000000"/>
                <w:sz w:val="24"/>
              </w:rPr>
              <w:t>Remedy</w:t>
            </w:r>
          </w:p>
        </w:tc>
      </w:tr>
      <w:tr w:rsidR="00195158" w:rsidRPr="00DA0D78" w:rsidTr="0085522A">
        <w:trPr>
          <w:trHeight w:val="1409"/>
        </w:trPr>
        <w:tc>
          <w:tcPr>
            <w:tcW w:w="709" w:type="dxa"/>
          </w:tcPr>
          <w:p w:rsidR="00195158" w:rsidRPr="00617F94" w:rsidRDefault="00195158" w:rsidP="0085522A">
            <w:pPr>
              <w:pStyle w:val="Heading2"/>
              <w:tabs>
                <w:tab w:val="left" w:pos="720"/>
              </w:tabs>
              <w:spacing w:before="120" w:after="120"/>
              <w:jc w:val="center"/>
              <w:textAlignment w:val="baseline"/>
              <w:rPr>
                <w:rFonts w:ascii="Arial" w:hAnsi="Arial" w:cs="Arial"/>
                <w:b w:val="0"/>
                <w:color w:val="auto"/>
                <w:sz w:val="24"/>
                <w:szCs w:val="24"/>
              </w:rPr>
            </w:pPr>
            <w:r w:rsidRPr="00617F94">
              <w:rPr>
                <w:rFonts w:ascii="Arial" w:hAnsi="Arial" w:cs="Arial"/>
                <w:b w:val="0"/>
                <w:color w:val="auto"/>
                <w:sz w:val="24"/>
                <w:szCs w:val="24"/>
              </w:rPr>
              <w:t>1</w:t>
            </w:r>
          </w:p>
        </w:tc>
        <w:tc>
          <w:tcPr>
            <w:tcW w:w="1701"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Final Report</w:t>
            </w:r>
          </w:p>
        </w:tc>
        <w:tc>
          <w:tcPr>
            <w:tcW w:w="4832"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Final report on validity of DRD claim to be provided at least three (3) weeks before the statutory payment deadline, providing clear explanations of how the conclusions have been reached.</w:t>
            </w:r>
          </w:p>
        </w:tc>
        <w:tc>
          <w:tcPr>
            <w:tcW w:w="1122"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 xml:space="preserve">100% </w:t>
            </w:r>
          </w:p>
        </w:tc>
        <w:tc>
          <w:tcPr>
            <w:tcW w:w="1830"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10% of the claim fee.</w:t>
            </w:r>
          </w:p>
        </w:tc>
      </w:tr>
      <w:tr w:rsidR="00195158" w:rsidRPr="00DA0D78" w:rsidTr="0085522A">
        <w:trPr>
          <w:trHeight w:val="2930"/>
        </w:trPr>
        <w:tc>
          <w:tcPr>
            <w:tcW w:w="709" w:type="dxa"/>
          </w:tcPr>
          <w:p w:rsidR="00195158" w:rsidRPr="00617F94" w:rsidRDefault="00195158" w:rsidP="0085522A">
            <w:pPr>
              <w:pStyle w:val="Heading2"/>
              <w:tabs>
                <w:tab w:val="left" w:pos="720"/>
              </w:tabs>
              <w:spacing w:before="120" w:after="120"/>
              <w:jc w:val="center"/>
              <w:textAlignment w:val="baseline"/>
              <w:rPr>
                <w:rFonts w:ascii="Arial" w:hAnsi="Arial" w:cs="Arial"/>
                <w:b w:val="0"/>
                <w:color w:val="auto"/>
                <w:sz w:val="24"/>
                <w:szCs w:val="24"/>
              </w:rPr>
            </w:pPr>
            <w:r w:rsidRPr="00617F94">
              <w:rPr>
                <w:rFonts w:ascii="Arial" w:hAnsi="Arial" w:cs="Arial"/>
                <w:b w:val="0"/>
                <w:color w:val="auto"/>
                <w:sz w:val="24"/>
                <w:szCs w:val="24"/>
              </w:rPr>
              <w:t>2</w:t>
            </w:r>
          </w:p>
        </w:tc>
        <w:tc>
          <w:tcPr>
            <w:tcW w:w="1701"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Initial assessments, preliminary advice, and ongoing support throughout the DRD claim</w:t>
            </w:r>
          </w:p>
        </w:tc>
        <w:tc>
          <w:tcPr>
            <w:tcW w:w="4832"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 xml:space="preserve">Clear advice and preliminary reports to be provided to the timetable set out in the Potential Provider’s project plan, as agreed as soon as possible after the Authority provides the DRD claim documents. </w:t>
            </w:r>
          </w:p>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The Authority should be kept informed of progress throughout the claim via regular updates, informing the Authority in good time of any potential slippage in delivery.</w:t>
            </w:r>
          </w:p>
        </w:tc>
        <w:tc>
          <w:tcPr>
            <w:tcW w:w="1122"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 xml:space="preserve">90% </w:t>
            </w:r>
          </w:p>
        </w:tc>
        <w:tc>
          <w:tcPr>
            <w:tcW w:w="1830" w:type="dxa"/>
          </w:tcPr>
          <w:p w:rsidR="00195158" w:rsidRPr="00617F94" w:rsidRDefault="00195158" w:rsidP="0085522A">
            <w:pPr>
              <w:pStyle w:val="Heading2"/>
              <w:tabs>
                <w:tab w:val="left" w:pos="720"/>
              </w:tabs>
              <w:spacing w:before="120" w:after="120"/>
              <w:textAlignment w:val="baseline"/>
              <w:rPr>
                <w:rFonts w:ascii="Arial" w:hAnsi="Arial" w:cs="Arial"/>
                <w:b w:val="0"/>
                <w:color w:val="auto"/>
                <w:sz w:val="24"/>
                <w:szCs w:val="24"/>
              </w:rPr>
            </w:pPr>
            <w:r w:rsidRPr="00617F94">
              <w:rPr>
                <w:rFonts w:ascii="Arial" w:hAnsi="Arial" w:cs="Arial"/>
                <w:b w:val="0"/>
                <w:color w:val="auto"/>
                <w:sz w:val="24"/>
                <w:szCs w:val="24"/>
              </w:rPr>
              <w:t>5% of the claim fee.</w:t>
            </w:r>
          </w:p>
        </w:tc>
      </w:tr>
    </w:tbl>
    <w:p w:rsidR="002F0191" w:rsidRDefault="002F0191">
      <w:pPr>
        <w:ind w:left="709"/>
        <w:rPr>
          <w:rFonts w:ascii="Arial" w:eastAsia="Arial" w:hAnsi="Arial" w:cs="Arial"/>
          <w:sz w:val="24"/>
          <w:szCs w:val="24"/>
          <w:highlight w:val="green"/>
        </w:rPr>
      </w:pPr>
      <w:bookmarkStart w:id="1" w:name="_GoBack"/>
      <w:bookmarkEnd w:id="1"/>
    </w:p>
    <w:p w:rsidR="002F0191" w:rsidRDefault="00F8139E">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B: Performance Monitoring </w:t>
      </w:r>
    </w:p>
    <w:p w:rsidR="002F0191" w:rsidRDefault="00F8139E">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2F0191" w:rsidRDefault="00F8139E">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w:t>
      </w:r>
      <w:r>
        <w:rPr>
          <w:rFonts w:ascii="Arial" w:eastAsia="Arial" w:hAnsi="Arial" w:cs="Arial"/>
          <w:color w:val="000000"/>
          <w:sz w:val="24"/>
          <w:szCs w:val="24"/>
        </w:rPr>
        <w:t xml:space="preserve"> to be applied in respect of the relevant period indicating the failures and Service Levels to which the Service Credits relate; and</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2F0191" w:rsidRDefault="00F8139E">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w:t>
      </w:r>
      <w:r>
        <w:rPr>
          <w:rFonts w:ascii="Arial" w:eastAsia="Arial" w:hAnsi="Arial" w:cs="Arial"/>
          <w:color w:val="000000"/>
          <w:sz w:val="24"/>
          <w:szCs w:val="24"/>
        </w:rPr>
        <w:t>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w:t>
      </w:r>
      <w:r>
        <w:rPr>
          <w:rFonts w:ascii="Arial" w:eastAsia="Arial" w:hAnsi="Arial" w:cs="Arial"/>
          <w:color w:val="000000"/>
          <w:sz w:val="24"/>
          <w:szCs w:val="24"/>
        </w:rPr>
        <w:t>e place within one (1) week of the Performance Monitoring Reports being issued by the Supplier at such location and time (within normal business hours) as the Buyer shall reasonably require;</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w:t>
      </w:r>
      <w:r>
        <w:rPr>
          <w:rFonts w:ascii="Arial" w:eastAsia="Arial" w:hAnsi="Arial" w:cs="Arial"/>
          <w:color w:val="000000"/>
          <w:sz w:val="24"/>
          <w:szCs w:val="24"/>
        </w:rPr>
        <w:t>esentative; and</w:t>
      </w:r>
    </w:p>
    <w:p w:rsidR="002F0191" w:rsidRDefault="00F8139E">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2F0191" w:rsidRDefault="002F0191">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2F0191" w:rsidRDefault="00F8139E">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2F0191" w:rsidRDefault="00F8139E">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w:t>
      </w:r>
      <w:r>
        <w:rPr>
          <w:rFonts w:ascii="Arial" w:eastAsia="Arial" w:hAnsi="Arial" w:cs="Arial"/>
          <w:color w:val="000000"/>
          <w:sz w:val="24"/>
          <w:szCs w:val="24"/>
        </w:rPr>
        <w:t xml:space="preserve">lier's provision of the Deliverables. The Buyer shall be entitled to notify the Supplier of any aspects of their performance of the provision of the Deliverables which the responses to the Satisfaction Surveys reasonably suggest are not in accordance with </w:t>
      </w:r>
      <w:r>
        <w:rPr>
          <w:rFonts w:ascii="Arial" w:eastAsia="Arial" w:hAnsi="Arial" w:cs="Arial"/>
          <w:color w:val="000000"/>
          <w:sz w:val="24"/>
          <w:szCs w:val="24"/>
        </w:rPr>
        <w:t>this Contract.</w:t>
      </w:r>
    </w:p>
    <w:p w:rsidR="002F0191" w:rsidRDefault="002F0191">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heading=h.ryj6jsxmsork" w:colFirst="0" w:colLast="0"/>
      <w:bookmarkEnd w:id="2"/>
    </w:p>
    <w:sectPr w:rsidR="002F019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39E" w:rsidRDefault="00F8139E">
      <w:pPr>
        <w:spacing w:after="0" w:line="240" w:lineRule="auto"/>
      </w:pPr>
      <w:r>
        <w:separator/>
      </w:r>
    </w:p>
  </w:endnote>
  <w:endnote w:type="continuationSeparator" w:id="0">
    <w:p w:rsidR="00F8139E" w:rsidRDefault="00F81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191" w:rsidRDefault="002F0191">
    <w:pPr>
      <w:tabs>
        <w:tab w:val="center" w:pos="4513"/>
        <w:tab w:val="right" w:pos="9026"/>
      </w:tabs>
      <w:spacing w:after="0" w:line="240" w:lineRule="auto"/>
      <w:jc w:val="both"/>
    </w:pP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RM6179</w:t>
    </w: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A0679">
      <w:rPr>
        <w:rFonts w:ascii="Arial" w:eastAsia="Arial" w:hAnsi="Arial" w:cs="Arial"/>
        <w:color w:val="000000"/>
        <w:sz w:val="20"/>
        <w:szCs w:val="20"/>
      </w:rPr>
      <w:fldChar w:fldCharType="separate"/>
    </w:r>
    <w:r w:rsidR="004A067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191" w:rsidRDefault="002F0191">
    <w:pPr>
      <w:tabs>
        <w:tab w:val="center" w:pos="4513"/>
        <w:tab w:val="right" w:pos="9026"/>
      </w:tabs>
      <w:spacing w:after="0" w:line="240" w:lineRule="auto"/>
      <w:jc w:val="both"/>
    </w:pP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r>
    <w:r>
      <w:rPr>
        <w:rFonts w:ascii="Arial" w:eastAsia="Arial" w:hAnsi="Arial" w:cs="Arial"/>
        <w:color w:val="000000"/>
        <w:sz w:val="20"/>
        <w:szCs w:val="20"/>
      </w:rPr>
      <w:t xml:space="preserve">                                           </w:t>
    </w: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2F0191" w:rsidRDefault="00F8139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39E" w:rsidRDefault="00F8139E">
      <w:pPr>
        <w:spacing w:after="0" w:line="240" w:lineRule="auto"/>
      </w:pPr>
      <w:r>
        <w:separator/>
      </w:r>
    </w:p>
  </w:footnote>
  <w:footnote w:type="continuationSeparator" w:id="0">
    <w:p w:rsidR="00F8139E" w:rsidRDefault="00F81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2F0191" w:rsidRDefault="00F813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2F0191" w:rsidRDefault="002F019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C3F9D"/>
    <w:multiLevelType w:val="multilevel"/>
    <w:tmpl w:val="34A8623C"/>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4AE5EE9"/>
    <w:multiLevelType w:val="multilevel"/>
    <w:tmpl w:val="D2C0C38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5304DA3"/>
    <w:multiLevelType w:val="multilevel"/>
    <w:tmpl w:val="4FF4ADE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60B38E3"/>
    <w:multiLevelType w:val="multilevel"/>
    <w:tmpl w:val="2AA2FEF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6E34715"/>
    <w:multiLevelType w:val="multilevel"/>
    <w:tmpl w:val="803CF3E2"/>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1"/>
    <w:rsid w:val="00195158"/>
    <w:rsid w:val="002F0191"/>
    <w:rsid w:val="004A0679"/>
    <w:rsid w:val="00F813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BAB2E5-4704-40E4-9659-24736375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GOk/TUvP7MjxOZLErGyDAXPdQA==">CgMxLjAyDmguaDRmbnlvN2xvbXBpMg5oLnJ5ajZqc3htc29yazgAciExS3F0OHNvTlZ6UHdBZEtCTDRlNlhnVzVEby1XTm9RaEY=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2</cp:revision>
  <dcterms:created xsi:type="dcterms:W3CDTF">2020-03-30T20:42:00Z</dcterms:created>
  <dcterms:modified xsi:type="dcterms:W3CDTF">2025-08-06T09:59:00Z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